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285E" w:rsidRDefault="006B6448">
      <w:pPr>
        <w:pStyle w:val="Title"/>
        <w:jc w:val="center"/>
      </w:pPr>
      <w:bookmarkStart w:id="0" w:name="h.3jcyowmxd92e" w:colFirst="0" w:colLast="0"/>
      <w:bookmarkEnd w:id="0"/>
      <w:r>
        <w:rPr>
          <w:rFonts w:ascii="Times New Roman" w:eastAsia="Times New Roman" w:hAnsi="Times New Roman" w:cs="Times New Roman"/>
          <w:sz w:val="36"/>
        </w:rPr>
        <w:t>Federating FutureGrid and GENI</w:t>
      </w:r>
    </w:p>
    <w:p w:rsidR="0024285E" w:rsidRDefault="006B6448">
      <w:pPr>
        <w:pStyle w:val="normal0"/>
        <w:jc w:val="center"/>
      </w:pPr>
      <w:r>
        <w:rPr>
          <w:rFonts w:ascii="Times New Roman" w:eastAsia="Times New Roman" w:hAnsi="Times New Roman" w:cs="Times New Roman"/>
          <w:sz w:val="20"/>
        </w:rPr>
        <w:t>Ilia Baldine (</w:t>
      </w:r>
      <w:hyperlink r:id="rId8">
        <w:r>
          <w:rPr>
            <w:rFonts w:ascii="Times New Roman" w:eastAsia="Times New Roman" w:hAnsi="Times New Roman" w:cs="Times New Roman"/>
            <w:color w:val="1155CC"/>
            <w:sz w:val="20"/>
            <w:u w:val="single"/>
          </w:rPr>
          <w:t>ibaldin@renci.org</w:t>
        </w:r>
      </w:hyperlink>
      <w:r>
        <w:rPr>
          <w:rFonts w:ascii="Times New Roman" w:eastAsia="Times New Roman" w:hAnsi="Times New Roman" w:cs="Times New Roman"/>
          <w:sz w:val="20"/>
        </w:rPr>
        <w:t xml:space="preserve"> RENCI/ UNC-CH), </w:t>
      </w:r>
    </w:p>
    <w:p w:rsidR="0024285E" w:rsidRDefault="006B6448">
      <w:pPr>
        <w:pStyle w:val="normal0"/>
        <w:jc w:val="center"/>
      </w:pPr>
      <w:r>
        <w:rPr>
          <w:rFonts w:ascii="Times New Roman" w:eastAsia="Times New Roman" w:hAnsi="Times New Roman" w:cs="Times New Roman"/>
          <w:sz w:val="20"/>
        </w:rPr>
        <w:t>Jeff Chase (</w:t>
      </w:r>
      <w:hyperlink r:id="rId9">
        <w:r>
          <w:rPr>
            <w:rFonts w:ascii="Times New Roman" w:eastAsia="Times New Roman" w:hAnsi="Times New Roman" w:cs="Times New Roman"/>
            <w:color w:val="1155CC"/>
            <w:sz w:val="20"/>
            <w:u w:val="single"/>
          </w:rPr>
          <w:t>chase@cs.duke.edu</w:t>
        </w:r>
      </w:hyperlink>
      <w:r>
        <w:rPr>
          <w:rFonts w:ascii="Times New Roman" w:eastAsia="Times New Roman" w:hAnsi="Times New Roman" w:cs="Times New Roman"/>
          <w:sz w:val="20"/>
        </w:rPr>
        <w:t>, Duke University),</w:t>
      </w:r>
    </w:p>
    <w:p w:rsidR="0024285E" w:rsidRDefault="006B6448">
      <w:pPr>
        <w:pStyle w:val="normal0"/>
        <w:jc w:val="center"/>
      </w:pPr>
      <w:r>
        <w:rPr>
          <w:rFonts w:ascii="Times New Roman" w:eastAsia="Times New Roman" w:hAnsi="Times New Roman" w:cs="Times New Roman"/>
          <w:sz w:val="20"/>
        </w:rPr>
        <w:t>Geoffrey Fox (</w:t>
      </w:r>
      <w:hyperlink r:id="rId10">
        <w:r>
          <w:rPr>
            <w:rFonts w:ascii="Times New Roman" w:eastAsia="Times New Roman" w:hAnsi="Times New Roman" w:cs="Times New Roman"/>
            <w:color w:val="1155CC"/>
            <w:sz w:val="20"/>
            <w:u w:val="single"/>
          </w:rPr>
          <w:t>gcfexchange@gmail.com</w:t>
        </w:r>
      </w:hyperlink>
      <w:r>
        <w:rPr>
          <w:rFonts w:ascii="Times New Roman" w:eastAsia="Times New Roman" w:hAnsi="Times New Roman" w:cs="Times New Roman"/>
          <w:sz w:val="20"/>
        </w:rPr>
        <w:t xml:space="preserve"> IU), </w:t>
      </w:r>
    </w:p>
    <w:p w:rsidR="0024285E" w:rsidRDefault="006B6448">
      <w:pPr>
        <w:pStyle w:val="normal0"/>
        <w:jc w:val="center"/>
      </w:pPr>
      <w:r>
        <w:rPr>
          <w:rFonts w:ascii="Times New Roman" w:eastAsia="Times New Roman" w:hAnsi="Times New Roman" w:cs="Times New Roman"/>
          <w:sz w:val="20"/>
        </w:rPr>
        <w:t>Gregor von Laszewski (</w:t>
      </w:r>
      <w:hyperlink r:id="rId11">
        <w:r>
          <w:rPr>
            <w:rFonts w:ascii="Times New Roman" w:eastAsia="Times New Roman" w:hAnsi="Times New Roman" w:cs="Times New Roman"/>
            <w:color w:val="1155CC"/>
            <w:sz w:val="20"/>
            <w:u w:val="single"/>
          </w:rPr>
          <w:t>laszewski@gmail.com</w:t>
        </w:r>
      </w:hyperlink>
      <w:r>
        <w:rPr>
          <w:rFonts w:ascii="Times New Roman" w:eastAsia="Times New Roman" w:hAnsi="Times New Roman" w:cs="Times New Roman"/>
          <w:sz w:val="20"/>
        </w:rPr>
        <w:t xml:space="preserve"> IU)</w:t>
      </w:r>
    </w:p>
    <w:p w:rsidR="0024285E" w:rsidRDefault="0024285E">
      <w:pPr>
        <w:pStyle w:val="normal0"/>
        <w:jc w:val="center"/>
      </w:pPr>
    </w:p>
    <w:p w:rsidR="0024285E" w:rsidRDefault="006B6448">
      <w:pPr>
        <w:pStyle w:val="Heading3"/>
      </w:pPr>
      <w:bookmarkStart w:id="1" w:name="h.79qy0moh3t4c" w:colFirst="0" w:colLast="0"/>
      <w:bookmarkEnd w:id="1"/>
      <w:r>
        <w:rPr>
          <w:rFonts w:ascii="Times New Roman" w:eastAsia="Times New Roman" w:hAnsi="Times New Roman" w:cs="Times New Roman"/>
          <w:color w:val="000000"/>
          <w:u w:val="single"/>
        </w:rPr>
        <w:t>Introduction</w:t>
      </w:r>
    </w:p>
    <w:p w:rsidR="0024285E" w:rsidRDefault="006B6448">
      <w:pPr>
        <w:pStyle w:val="normal0"/>
        <w:jc w:val="both"/>
      </w:pPr>
      <w:r>
        <w:rPr>
          <w:rFonts w:ascii="Times New Roman" w:eastAsia="Times New Roman" w:hAnsi="Times New Roman" w:cs="Times New Roman"/>
        </w:rPr>
        <w:t>In the last few years a number of projects have begun creating complex testb</w:t>
      </w:r>
      <w:r>
        <w:rPr>
          <w:rFonts w:ascii="Times New Roman" w:eastAsia="Times New Roman" w:hAnsi="Times New Roman" w:cs="Times New Roman"/>
        </w:rPr>
        <w:t>ed environments that serve a variety of domain sciences. These testbeds leverage various cloud and networking technologies to create rapidly reconfigurable environments in which user activities can take place. The creators of these testbeds have designed s</w:t>
      </w:r>
      <w:r>
        <w:rPr>
          <w:rFonts w:ascii="Times New Roman" w:eastAsia="Times New Roman" w:hAnsi="Times New Roman" w:cs="Times New Roman"/>
        </w:rPr>
        <w:t>ophisticated solutions that address the specific needs of their user communities, which created sets of unique complementary capabilities between them. As the level of sophistication of users grows, their requirements to the testbed environments are expand</w:t>
      </w:r>
      <w:r>
        <w:rPr>
          <w:rFonts w:ascii="Times New Roman" w:eastAsia="Times New Roman" w:hAnsi="Times New Roman" w:cs="Times New Roman"/>
        </w:rPr>
        <w:t>ing, such that no single environment may be able to meet their needs. Thus there is a need to federate these previously separate efforts to allow users to gain access to the best of breed solutions, while taking advantage of federated identity and other me</w:t>
      </w:r>
      <w:r>
        <w:rPr>
          <w:rFonts w:ascii="Times New Roman" w:eastAsia="Times New Roman" w:hAnsi="Times New Roman" w:cs="Times New Roman"/>
        </w:rPr>
        <w:t xml:space="preserve">chanisms that simplify access to resources from multiple providers. In this document we discuss the possibility of federation between FutureGrid and GENI - two such testbed efforts. </w:t>
      </w:r>
    </w:p>
    <w:p w:rsidR="0024285E" w:rsidRDefault="0024285E">
      <w:pPr>
        <w:pStyle w:val="Heading3"/>
      </w:pPr>
      <w:bookmarkStart w:id="2" w:name="h.3fytae8elli1" w:colFirst="0" w:colLast="0"/>
      <w:bookmarkEnd w:id="2"/>
    </w:p>
    <w:p w:rsidR="0024285E" w:rsidRDefault="006B6448">
      <w:pPr>
        <w:pStyle w:val="normal0"/>
        <w:jc w:val="both"/>
      </w:pPr>
      <w:r>
        <w:rPr>
          <w:rFonts w:ascii="Times New Roman" w:eastAsia="Times New Roman" w:hAnsi="Times New Roman" w:cs="Times New Roman"/>
          <w:b/>
        </w:rPr>
        <w:t>FutureGrid</w:t>
      </w:r>
      <w:r>
        <w:rPr>
          <w:rFonts w:ascii="Times New Roman" w:eastAsia="Times New Roman" w:hAnsi="Times New Roman" w:cs="Times New Roman"/>
        </w:rPr>
        <w:t xml:space="preserve"> is an international testbed infrastructure </w:t>
      </w:r>
      <w:r>
        <w:rPr>
          <w:rFonts w:ascii="Times New Roman" w:eastAsia="Times New Roman" w:hAnsi="Times New Roman" w:cs="Times New Roman"/>
          <w:highlight w:val="white"/>
        </w:rPr>
        <w:t>for researchers of</w:t>
      </w:r>
      <w:r>
        <w:rPr>
          <w:rFonts w:ascii="Times New Roman" w:eastAsia="Times New Roman" w:hAnsi="Times New Roman" w:cs="Times New Roman"/>
          <w:highlight w:val="white"/>
        </w:rPr>
        <w:t xml:space="preserve"> various domains (see Figure 1). One of its uses has been to tackle complex research challenges in computer science related to the use and security of grids and clouds. These include topics ranging from authentication, authorization, scheduling, virtualiza</w:t>
      </w:r>
      <w:r>
        <w:rPr>
          <w:rFonts w:ascii="Times New Roman" w:eastAsia="Times New Roman" w:hAnsi="Times New Roman" w:cs="Times New Roman"/>
          <w:highlight w:val="white"/>
        </w:rPr>
        <w:t xml:space="preserve">tion, middleware design, interface design and cybersecurity, to the optimization of grid-enabled and cloud-enabled computational schemes for researchers including domain scientists. FutureGrid has delivered not only the ability to utilize IaaS and PaaS to </w:t>
      </w:r>
      <w:r>
        <w:rPr>
          <w:rFonts w:ascii="Times New Roman" w:eastAsia="Times New Roman" w:hAnsi="Times New Roman" w:cs="Times New Roman"/>
          <w:highlight w:val="white"/>
        </w:rPr>
        <w:t>the users, but also provides provisioning of templated images onto IaaS and even bare metal. Technologies that are relevant for the collaborative work include FutureGrids templated image management, bare metal provisioning of OS distributions that are popu</w:t>
      </w:r>
      <w:r>
        <w:rPr>
          <w:rFonts w:ascii="Times New Roman" w:eastAsia="Times New Roman" w:hAnsi="Times New Roman" w:cs="Times New Roman"/>
          <w:highlight w:val="white"/>
        </w:rPr>
        <w:t>lar as part of IaaS developers (especially OpenStack), the FutureGrid templated experiment management for IaaS and PaaS including Hadoop, and cloud metric framework allowing integration with accounting frameworks. FutureGrid has also provided a sophisticat</w:t>
      </w:r>
      <w:r>
        <w:rPr>
          <w:rFonts w:ascii="Times New Roman" w:eastAsia="Times New Roman" w:hAnsi="Times New Roman" w:cs="Times New Roman"/>
          <w:highlight w:val="white"/>
        </w:rPr>
        <w:t>ed portal for user and project management allowing the approval of user accounts and projects through a well defined distributed process that makes it possible to support approval within minutes. Recently, we have also started efforts to couple the availab</w:t>
      </w:r>
      <w:r>
        <w:rPr>
          <w:rFonts w:ascii="Times New Roman" w:eastAsia="Times New Roman" w:hAnsi="Times New Roman" w:cs="Times New Roman"/>
          <w:highlight w:val="white"/>
        </w:rPr>
        <w:t>le resources into online educational Massive Open Online Course services.</w:t>
      </w:r>
    </w:p>
    <w:p w:rsidR="0024285E" w:rsidRDefault="0024285E">
      <w:pPr>
        <w:pStyle w:val="normal0"/>
        <w:jc w:val="both"/>
      </w:pPr>
    </w:p>
    <w:p w:rsidR="0024285E" w:rsidRDefault="006B6448">
      <w:pPr>
        <w:pStyle w:val="normal0"/>
        <w:jc w:val="both"/>
      </w:pPr>
      <w:r>
        <w:rPr>
          <w:rFonts w:ascii="Times New Roman" w:eastAsia="Times New Roman" w:hAnsi="Times New Roman" w:cs="Times New Roman"/>
          <w:b/>
        </w:rPr>
        <w:t>GENI</w:t>
      </w:r>
      <w:r>
        <w:rPr>
          <w:rFonts w:ascii="Times New Roman" w:eastAsia="Times New Roman" w:hAnsi="Times New Roman" w:cs="Times New Roman"/>
        </w:rPr>
        <w:t xml:space="preserve"> was envisioned as a sophisticated global environment for staging complex computer science experiments on a large scale, combining computational, networking and storage resource</w:t>
      </w:r>
      <w:r>
        <w:rPr>
          <w:rFonts w:ascii="Times New Roman" w:eastAsia="Times New Roman" w:hAnsi="Times New Roman" w:cs="Times New Roman"/>
        </w:rPr>
        <w:t xml:space="preserve">s into complex connected arrangements called </w:t>
      </w:r>
      <w:r>
        <w:rPr>
          <w:rFonts w:ascii="Times New Roman" w:eastAsia="Times New Roman" w:hAnsi="Times New Roman" w:cs="Times New Roman"/>
          <w:i/>
        </w:rPr>
        <w:t>slices</w:t>
      </w:r>
      <w:r>
        <w:rPr>
          <w:rFonts w:ascii="Times New Roman" w:eastAsia="Times New Roman" w:hAnsi="Times New Roman" w:cs="Times New Roman"/>
        </w:rPr>
        <w:t xml:space="preserve"> in a federated setting  which included resources from multiple providers. However as GENI began to take shape, it became apparent that the solutions developed to create isolated slices suitable for scalab</w:t>
      </w:r>
      <w:r>
        <w:rPr>
          <w:rFonts w:ascii="Times New Roman" w:eastAsia="Times New Roman" w:hAnsi="Times New Roman" w:cs="Times New Roman"/>
        </w:rPr>
        <w:t>le distributed experiments, can also be used for launching complex distributed computational activities. GENI architecture and engineering efforts paid particular attention to (</w:t>
      </w:r>
      <w:r>
        <w:rPr>
          <w:rFonts w:ascii="Times New Roman" w:eastAsia="Times New Roman" w:hAnsi="Times New Roman" w:cs="Times New Roman"/>
          <w:b/>
        </w:rPr>
        <w:t>a</w:t>
      </w:r>
      <w:r>
        <w:rPr>
          <w:rFonts w:ascii="Times New Roman" w:eastAsia="Times New Roman" w:hAnsi="Times New Roman" w:cs="Times New Roman"/>
        </w:rPr>
        <w:t>) resource descriptions and network virtualization, enabling complex network t</w:t>
      </w:r>
      <w:r>
        <w:rPr>
          <w:rFonts w:ascii="Times New Roman" w:eastAsia="Times New Roman" w:hAnsi="Times New Roman" w:cs="Times New Roman"/>
        </w:rPr>
        <w:t>opology embedding at Layer 2, which bypasses the commodity Internet, and (</w:t>
      </w:r>
      <w:r>
        <w:rPr>
          <w:rFonts w:ascii="Times New Roman" w:eastAsia="Times New Roman" w:hAnsi="Times New Roman" w:cs="Times New Roman"/>
          <w:b/>
        </w:rPr>
        <w:t>b</w:t>
      </w:r>
      <w:r>
        <w:rPr>
          <w:rFonts w:ascii="Times New Roman" w:eastAsia="Times New Roman" w:hAnsi="Times New Roman" w:cs="Times New Roman"/>
        </w:rPr>
        <w:t>) federation identity mechanisms, where e.g. at the time of this writing ABAC (Attribute Based Access Control) - an advanced authorization scheme base on reasoning over an authoriza</w:t>
      </w:r>
      <w:r>
        <w:rPr>
          <w:rFonts w:ascii="Times New Roman" w:eastAsia="Times New Roman" w:hAnsi="Times New Roman" w:cs="Times New Roman"/>
        </w:rPr>
        <w:t xml:space="preserve">tion logic, is being integrated. </w:t>
      </w:r>
    </w:p>
    <w:p w:rsidR="0024285E" w:rsidRDefault="0024285E">
      <w:pPr>
        <w:pStyle w:val="normal0"/>
        <w:jc w:val="both"/>
      </w:pPr>
    </w:p>
    <w:p w:rsidR="0024285E" w:rsidRDefault="006B6448">
      <w:pPr>
        <w:pStyle w:val="normal0"/>
        <w:jc w:val="both"/>
      </w:pPr>
      <w:r>
        <w:rPr>
          <w:rFonts w:ascii="Times New Roman" w:eastAsia="Times New Roman" w:hAnsi="Times New Roman" w:cs="Times New Roman"/>
        </w:rPr>
        <w:t>GENI consists of several substrate elements, which are being federated together to allow users seamless access to a variety of resources: computational and storage resources from GENI ‘racks’, Layer 2 backbone resources f</w:t>
      </w:r>
      <w:r>
        <w:rPr>
          <w:rFonts w:ascii="Times New Roman" w:eastAsia="Times New Roman" w:hAnsi="Times New Roman" w:cs="Times New Roman"/>
        </w:rPr>
        <w:t>rom NLR and Internet 2 and OpenFlow resources from overlay networks hosted by backbone and regional providers. RENCI has been deploying part of GENI testbed called ExoGENI (</w:t>
      </w:r>
      <w:hyperlink r:id="rId12">
        <w:r>
          <w:rPr>
            <w:rFonts w:ascii="Times New Roman" w:eastAsia="Times New Roman" w:hAnsi="Times New Roman" w:cs="Times New Roman"/>
            <w:color w:val="1155CC"/>
            <w:u w:val="single"/>
          </w:rPr>
          <w:t>http://www.exogeni.net</w:t>
        </w:r>
      </w:hyperlink>
      <w:r>
        <w:rPr>
          <w:rFonts w:ascii="Times New Roman" w:eastAsia="Times New Roman" w:hAnsi="Times New Roman" w:cs="Times New Roman"/>
        </w:rPr>
        <w:t>) since 2012. When completed, ExoGENI will consist of 14+ rack sites across the US and the world, tied together with Layer 2 backbone and OpenFlow networks, capable of staging slices that include resources from multiple racks tied together with VLANs acqui</w:t>
      </w:r>
      <w:r>
        <w:rPr>
          <w:rFonts w:ascii="Times New Roman" w:eastAsia="Times New Roman" w:hAnsi="Times New Roman" w:cs="Times New Roman"/>
        </w:rPr>
        <w:t>red from multiple Layer 2 providers (at present 6 sites have been deployed and the deployment process is continuing). ExoGENI is based on an overlay model in which the federation and orchestration software called ORCA (developed by Duke University and RENC</w:t>
      </w:r>
      <w:r>
        <w:rPr>
          <w:rFonts w:ascii="Times New Roman" w:eastAsia="Times New Roman" w:hAnsi="Times New Roman" w:cs="Times New Roman"/>
        </w:rPr>
        <w:t>I) controls existing cloud and network aggregates (e.g. OpenStack installations and regional and global network providers) via their native APIs. ORCA includes sophisticated network embedding capabilities and can be modified to control additional cloud and</w:t>
      </w:r>
      <w:r>
        <w:rPr>
          <w:rFonts w:ascii="Times New Roman" w:eastAsia="Times New Roman" w:hAnsi="Times New Roman" w:cs="Times New Roman"/>
        </w:rPr>
        <w:t xml:space="preserve"> network resources due to its pluggable architecture and implementation.</w:t>
      </w:r>
    </w:p>
    <w:p w:rsidR="0024285E" w:rsidRDefault="0024285E">
      <w:pPr>
        <w:pStyle w:val="normal0"/>
        <w:jc w:val="both"/>
      </w:pPr>
    </w:p>
    <w:p w:rsidR="0024285E" w:rsidRDefault="006B6448">
      <w:pPr>
        <w:pStyle w:val="normal0"/>
        <w:jc w:val="both"/>
      </w:pPr>
      <w:r>
        <w:rPr>
          <w:rFonts w:ascii="Times New Roman" w:eastAsia="Times New Roman" w:hAnsi="Times New Roman" w:cs="Times New Roman"/>
        </w:rPr>
        <w:t>Thus the two testbeds represent a significant set of resources leveraging cloud technologies, which present a complementary set of capabilities: image management, application level c</w:t>
      </w:r>
      <w:r>
        <w:rPr>
          <w:rFonts w:ascii="Times New Roman" w:eastAsia="Times New Roman" w:hAnsi="Times New Roman" w:cs="Times New Roman"/>
        </w:rPr>
        <w:t xml:space="preserve">ontrol in FutureGrid and identity federation and network virtualization in ExoGENI/ORCA. </w:t>
      </w:r>
    </w:p>
    <w:p w:rsidR="0024285E" w:rsidRDefault="0024285E">
      <w:pPr>
        <w:pStyle w:val="normal0"/>
        <w:jc w:val="both"/>
      </w:pPr>
    </w:p>
    <w:p w:rsidR="0024285E" w:rsidRDefault="006B6448">
      <w:pPr>
        <w:pStyle w:val="normal0"/>
        <w:jc w:val="both"/>
      </w:pPr>
      <w:r>
        <w:rPr>
          <w:rFonts w:ascii="Times New Roman" w:eastAsia="Times New Roman" w:hAnsi="Times New Roman" w:cs="Times New Roman"/>
        </w:rPr>
        <w:t>We propose to undertake a development effort to allow FutureGrid resources and capabilities to be leveraged using GENI federation mechanisms as well as ORCA topology</w:t>
      </w:r>
      <w:r>
        <w:rPr>
          <w:rFonts w:ascii="Times New Roman" w:eastAsia="Times New Roman" w:hAnsi="Times New Roman" w:cs="Times New Roman"/>
        </w:rPr>
        <w:t xml:space="preserve"> embedding and network virtualization.  This would allow FutureGrid users to take advantage of ORCA’s advanced networking capabilities and federation mechanisms (e.g. identity), while GENI users would gain access to a unique resources in FutureGrid for sta</w:t>
      </w:r>
      <w:r>
        <w:rPr>
          <w:rFonts w:ascii="Times New Roman" w:eastAsia="Times New Roman" w:hAnsi="Times New Roman" w:cs="Times New Roman"/>
        </w:rPr>
        <w:t>ging experiments that involve diverse computational cloud resources, which include FutureGrid’s sophisticated compute image management capabilities.</w:t>
      </w:r>
    </w:p>
    <w:p w:rsidR="0024285E" w:rsidRDefault="0024285E">
      <w:pPr>
        <w:pStyle w:val="normal0"/>
        <w:jc w:val="both"/>
      </w:pPr>
    </w:p>
    <w:p w:rsidR="0024285E" w:rsidRDefault="006B6448">
      <w:pPr>
        <w:pStyle w:val="Heading3"/>
        <w:jc w:val="both"/>
      </w:pPr>
      <w:bookmarkStart w:id="3" w:name="h.4k02u2fu92mv" w:colFirst="0" w:colLast="0"/>
      <w:bookmarkEnd w:id="3"/>
      <w:r>
        <w:rPr>
          <w:rFonts w:ascii="Times New Roman" w:eastAsia="Times New Roman" w:hAnsi="Times New Roman" w:cs="Times New Roman"/>
          <w:color w:val="000000"/>
          <w:u w:val="single"/>
        </w:rPr>
        <w:t>Driving Applications and Use Cases</w:t>
      </w:r>
    </w:p>
    <w:p w:rsidR="0024285E" w:rsidRDefault="0024285E">
      <w:pPr>
        <w:pStyle w:val="normal0"/>
      </w:pPr>
    </w:p>
    <w:p w:rsidR="0024285E" w:rsidRDefault="006B6448">
      <w:pPr>
        <w:pStyle w:val="normal0"/>
      </w:pPr>
      <w:r>
        <w:rPr>
          <w:rFonts w:ascii="Times New Roman" w:eastAsia="Times New Roman" w:hAnsi="Times New Roman" w:cs="Times New Roman"/>
        </w:rPr>
        <w:t>In this section we identify a number of areas and user communities whi</w:t>
      </w:r>
      <w:r>
        <w:rPr>
          <w:rFonts w:ascii="Times New Roman" w:eastAsia="Times New Roman" w:hAnsi="Times New Roman" w:cs="Times New Roman"/>
        </w:rPr>
        <w:t>ch would benefit from FutureGrid offering some of its capabilities under GENI federation. They can be roughly separated into three categories:</w:t>
      </w:r>
    </w:p>
    <w:p w:rsidR="0024285E" w:rsidRDefault="006B6448">
      <w:pPr>
        <w:pStyle w:val="normal0"/>
        <w:numPr>
          <w:ilvl w:val="0"/>
          <w:numId w:val="1"/>
        </w:numPr>
        <w:ind w:hanging="359"/>
      </w:pPr>
      <w:r>
        <w:rPr>
          <w:rFonts w:ascii="Times New Roman" w:eastAsia="Times New Roman" w:hAnsi="Times New Roman" w:cs="Times New Roman"/>
          <w:b/>
        </w:rPr>
        <w:t>Area 1.</w:t>
      </w:r>
      <w:r>
        <w:rPr>
          <w:rFonts w:ascii="Times New Roman" w:eastAsia="Times New Roman" w:hAnsi="Times New Roman" w:cs="Times New Roman"/>
        </w:rPr>
        <w:t xml:space="preserve"> Users of FutureGrid, who would benefit from expanding their activities into GENI using its advanced netwo</w:t>
      </w:r>
      <w:r>
        <w:rPr>
          <w:rFonts w:ascii="Times New Roman" w:eastAsia="Times New Roman" w:hAnsi="Times New Roman" w:cs="Times New Roman"/>
        </w:rPr>
        <w:t>rking capabilities</w:t>
      </w:r>
    </w:p>
    <w:p w:rsidR="0024285E" w:rsidRDefault="006B6448">
      <w:pPr>
        <w:pStyle w:val="normal0"/>
        <w:numPr>
          <w:ilvl w:val="0"/>
          <w:numId w:val="1"/>
        </w:numPr>
        <w:ind w:hanging="359"/>
      </w:pPr>
      <w:r>
        <w:rPr>
          <w:rFonts w:ascii="Times New Roman" w:eastAsia="Times New Roman" w:hAnsi="Times New Roman" w:cs="Times New Roman"/>
          <w:b/>
        </w:rPr>
        <w:t>Area 2.</w:t>
      </w:r>
      <w:r>
        <w:rPr>
          <w:rFonts w:ascii="Times New Roman" w:eastAsia="Times New Roman" w:hAnsi="Times New Roman" w:cs="Times New Roman"/>
        </w:rPr>
        <w:t xml:space="preserve"> Users of GENI, who would benefit of using features and tools of FutureGrid </w:t>
      </w:r>
    </w:p>
    <w:p w:rsidR="0024285E" w:rsidRDefault="006B6448">
      <w:pPr>
        <w:pStyle w:val="normal0"/>
        <w:numPr>
          <w:ilvl w:val="0"/>
          <w:numId w:val="1"/>
        </w:numPr>
        <w:ind w:hanging="359"/>
      </w:pPr>
      <w:r>
        <w:rPr>
          <w:rFonts w:ascii="Times New Roman" w:eastAsia="Times New Roman" w:hAnsi="Times New Roman" w:cs="Times New Roman"/>
          <w:b/>
        </w:rPr>
        <w:t>Area 3.</w:t>
      </w:r>
      <w:r>
        <w:rPr>
          <w:rFonts w:ascii="Times New Roman" w:eastAsia="Times New Roman" w:hAnsi="Times New Roman" w:cs="Times New Roman"/>
        </w:rPr>
        <w:t xml:space="preserve"> GENI architectural and development activities that can benefit from experience and tools developed by FutureGrid</w:t>
      </w:r>
    </w:p>
    <w:p w:rsidR="0024285E" w:rsidRDefault="006B6448">
      <w:pPr>
        <w:pStyle w:val="normal0"/>
      </w:pPr>
      <w:r>
        <w:rPr>
          <w:rFonts w:ascii="Times New Roman" w:eastAsia="Times New Roman" w:hAnsi="Times New Roman" w:cs="Times New Roman"/>
        </w:rPr>
        <w:t xml:space="preserve">Furthermore, we are highlighting within each of the areas of promising research activities that would benefit from such an integration. </w:t>
      </w:r>
    </w:p>
    <w:p w:rsidR="0024285E" w:rsidRDefault="0024285E">
      <w:pPr>
        <w:pStyle w:val="normal0"/>
      </w:pPr>
    </w:p>
    <w:p w:rsidR="0024285E" w:rsidRDefault="006B6448">
      <w:pPr>
        <w:pStyle w:val="normal0"/>
      </w:pPr>
      <w:r>
        <w:rPr>
          <w:rFonts w:ascii="Times New Roman" w:eastAsia="Times New Roman" w:hAnsi="Times New Roman" w:cs="Times New Roman"/>
          <w:b/>
        </w:rPr>
        <w:t>Area 1.</w:t>
      </w:r>
      <w:r>
        <w:rPr>
          <w:rFonts w:ascii="Times New Roman" w:eastAsia="Times New Roman" w:hAnsi="Times New Roman" w:cs="Times New Roman"/>
        </w:rPr>
        <w:t xml:space="preserve"> </w:t>
      </w:r>
    </w:p>
    <w:p w:rsidR="0024285E" w:rsidRDefault="006B6448">
      <w:pPr>
        <w:pStyle w:val="normal0"/>
      </w:pPr>
      <w:r>
        <w:rPr>
          <w:rFonts w:ascii="Times New Roman" w:eastAsia="Times New Roman" w:hAnsi="Times New Roman" w:cs="Times New Roman"/>
        </w:rPr>
        <w:t>(a) Distributed big data applications</w:t>
      </w:r>
    </w:p>
    <w:p w:rsidR="0024285E" w:rsidRDefault="0024285E">
      <w:pPr>
        <w:pStyle w:val="normal0"/>
      </w:pPr>
    </w:p>
    <w:p w:rsidR="0024285E" w:rsidRDefault="006B6448">
      <w:pPr>
        <w:pStyle w:val="normal0"/>
        <w:jc w:val="both"/>
      </w:pPr>
      <w:r>
        <w:rPr>
          <w:rFonts w:ascii="Times New Roman" w:eastAsia="Times New Roman" w:hAnsi="Times New Roman" w:cs="Times New Roman"/>
        </w:rPr>
        <w:t xml:space="preserve">As data volumes grow, there is much interest in data repositories and </w:t>
      </w:r>
      <w:r>
        <w:rPr>
          <w:rFonts w:ascii="Times New Roman" w:eastAsia="Times New Roman" w:hAnsi="Times New Roman" w:cs="Times New Roman"/>
        </w:rPr>
        <w:t xml:space="preserve">data intensive computing. Scientists need systems that manage both the data and provide computing (data analytics) on the data. Recent commercial systems such as those at Google, Facebook, Amazon, Twitter are architectured as a clouds supporting analytics </w:t>
      </w:r>
      <w:r>
        <w:rPr>
          <w:rFonts w:ascii="Times New Roman" w:eastAsia="Times New Roman" w:hAnsi="Times New Roman" w:cs="Times New Roman"/>
        </w:rPr>
        <w:t xml:space="preserve">with co-located storage. These satisfy the principle of bringing computing to the data. However, this is not universally applicable for the cyberinfrastructure supporting data-intensive science, which features a diversity of distributed data analyzed by a </w:t>
      </w:r>
      <w:r>
        <w:rPr>
          <w:rFonts w:ascii="Times New Roman" w:eastAsia="Times New Roman" w:hAnsi="Times New Roman" w:cs="Times New Roman"/>
        </w:rPr>
        <w:t>distributed research team. We have good examples in the LHC data analysis system with data distributed and analyzed across the world. The primary data analysis of LHC uses compute-data affinity in a grid to produce event parameters, but also needs to acces</w:t>
      </w:r>
      <w:r>
        <w:rPr>
          <w:rFonts w:ascii="Times New Roman" w:eastAsia="Times New Roman" w:hAnsi="Times New Roman" w:cs="Times New Roman"/>
        </w:rPr>
        <w:t>s data across the globe, making it more efficient (as only parts of distributed files are needed) than transferring files. However, this pleasingly parallel model is insufficient in other disciplines where one traditionally uses repositories like GENBank (</w:t>
      </w:r>
      <w:r>
        <w:rPr>
          <w:rFonts w:ascii="Times New Roman" w:eastAsia="Times New Roman" w:hAnsi="Times New Roman" w:cs="Times New Roman"/>
        </w:rPr>
        <w:t>Biology), NSIDC (Polar data) and EOSDIS (Earth Satellite data), which do not have enough attached computing to support science analysis. We can imagine adding a cloud in front of each discipline repository but how do we determine the right size and scalabi</w:t>
      </w:r>
      <w:r>
        <w:rPr>
          <w:rFonts w:ascii="Times New Roman" w:eastAsia="Times New Roman" w:hAnsi="Times New Roman" w:cs="Times New Roman"/>
        </w:rPr>
        <w:t>lity for it? Further suppose we want to do environmental genomics; we need genomics as well as environmental data, which are typically not in same repository as they are gathered by multidisciplinary studies. Even in genomics itself, data is now gathered b</w:t>
      </w:r>
      <w:r>
        <w:rPr>
          <w:rFonts w:ascii="Times New Roman" w:eastAsia="Times New Roman" w:hAnsi="Times New Roman" w:cs="Times New Roman"/>
        </w:rPr>
        <w:t>y a multitude of distributed low cost “individual” sequencers such as the Illumina MiSeq which has an instrument cost of ~$100K and can produce many gigabytes of data a day. This analysis highlights a new frontier, where data is stored in multiple places a</w:t>
      </w:r>
      <w:r>
        <w:rPr>
          <w:rFonts w:ascii="Times New Roman" w:eastAsia="Times New Roman" w:hAnsi="Times New Roman" w:cs="Times New Roman"/>
        </w:rPr>
        <w:t xml:space="preserve">cross continents but needs to be presented to the analytics as a co-located data system perhaps set up as virtual Hadoop file system. </w:t>
      </w:r>
    </w:p>
    <w:p w:rsidR="0024285E" w:rsidRDefault="0024285E">
      <w:pPr>
        <w:pStyle w:val="normal0"/>
        <w:jc w:val="both"/>
      </w:pPr>
    </w:p>
    <w:p w:rsidR="0024285E" w:rsidRDefault="006B6448">
      <w:pPr>
        <w:pStyle w:val="normal0"/>
        <w:jc w:val="both"/>
      </w:pPr>
      <w:r>
        <w:rPr>
          <w:rFonts w:ascii="Times New Roman" w:eastAsia="Times New Roman" w:hAnsi="Times New Roman" w:cs="Times New Roman"/>
        </w:rPr>
        <w:t>Early experiments on the FutureGrid-GENI collaboration will focus on building and measuring performance of virtual distr</w:t>
      </w:r>
      <w:r>
        <w:rPr>
          <w:rFonts w:ascii="Times New Roman" w:eastAsia="Times New Roman" w:hAnsi="Times New Roman" w:cs="Times New Roman"/>
        </w:rPr>
        <w:t>ibuted data stores where GENI-based software defined networks bring the computing to distributed data repositories. We will compare this streaming virtualized data model with the traditional model where files are copied from distant to local storage. We wi</w:t>
      </w:r>
      <w:r>
        <w:rPr>
          <w:rFonts w:ascii="Times New Roman" w:eastAsia="Times New Roman" w:hAnsi="Times New Roman" w:cs="Times New Roman"/>
        </w:rPr>
        <w:t>ll consider multiple data architectures including HDFS (data parallel storage with addons like Hbase), Lustre (wide area file systems) and the object stores exemplified by Amazon S3 and OpenStack Swift. Example applications already on FutureGrid include Ne</w:t>
      </w:r>
      <w:r>
        <w:rPr>
          <w:rFonts w:ascii="Times New Roman" w:eastAsia="Times New Roman" w:hAnsi="Times New Roman" w:cs="Times New Roman"/>
        </w:rPr>
        <w:t>twork Science (analysis of Twitter data), “Deep Learning” (large scale clustering of social images), Earthquake and Polar Science (exemplifying the important Earth Science area with multidisciplinary climate change and need to fuse geo-positioned data from</w:t>
      </w:r>
      <w:r>
        <w:rPr>
          <w:rFonts w:ascii="Times New Roman" w:eastAsia="Times New Roman" w:hAnsi="Times New Roman" w:cs="Times New Roman"/>
        </w:rPr>
        <w:t xml:space="preserve"> multiple sources), Sensor nets as seen in Smart Power Grids and Genomics discussed above. The analytics needed include some pleasing parallel as in sensor data analysis; some with weak coupling as in Genomic sequence comparison as with Blast; others with </w:t>
      </w:r>
      <w:r>
        <w:rPr>
          <w:rFonts w:ascii="Times New Roman" w:eastAsia="Times New Roman" w:hAnsi="Times New Roman" w:cs="Times New Roman"/>
        </w:rPr>
        <w:t>interactive browsing as with Geographic Information Systems in Earth Science and closely coupled clustering seen in Genomics and Network Science. These analytics span performance issues including I/O dominated and communication intensive applications.</w:t>
      </w:r>
    </w:p>
    <w:p w:rsidR="0024285E" w:rsidRDefault="006B6448">
      <w:pPr>
        <w:pStyle w:val="normal0"/>
      </w:pPr>
      <w:r>
        <w:rPr>
          <w:rFonts w:ascii="Times New Roman" w:eastAsia="Times New Roman" w:hAnsi="Times New Roman" w:cs="Times New Roman"/>
        </w:rPr>
        <w:t xml:space="preserve"> </w:t>
      </w:r>
    </w:p>
    <w:p w:rsidR="0024285E" w:rsidRDefault="006B6448">
      <w:pPr>
        <w:pStyle w:val="normal0"/>
        <w:jc w:val="both"/>
      </w:pPr>
      <w:r>
        <w:rPr>
          <w:rFonts w:ascii="Times New Roman" w:eastAsia="Times New Roman" w:hAnsi="Times New Roman" w:cs="Times New Roman"/>
        </w:rPr>
        <w:t>Th</w:t>
      </w:r>
      <w:r>
        <w:rPr>
          <w:rFonts w:ascii="Times New Roman" w:eastAsia="Times New Roman" w:hAnsi="Times New Roman" w:cs="Times New Roman"/>
        </w:rPr>
        <w:t xml:space="preserve">us the perennial tradeoff of moving data to computation or moving to computation acquires new dimensions with FG/GENI federation. With FG taking advantage of GENI network </w:t>
      </w:r>
      <w:r>
        <w:rPr>
          <w:rFonts w:ascii="Times New Roman" w:eastAsia="Times New Roman" w:hAnsi="Times New Roman" w:cs="Times New Roman"/>
          <w:i/>
        </w:rPr>
        <w:t>stitching</w:t>
      </w:r>
      <w:r>
        <w:rPr>
          <w:rFonts w:ascii="Times New Roman" w:eastAsia="Times New Roman" w:hAnsi="Times New Roman" w:cs="Times New Roman"/>
        </w:rPr>
        <w:t xml:space="preserve"> and other unique networking capabilities, users of FG interested in data-in</w:t>
      </w:r>
      <w:r>
        <w:rPr>
          <w:rFonts w:ascii="Times New Roman" w:eastAsia="Times New Roman" w:hAnsi="Times New Roman" w:cs="Times New Roman"/>
        </w:rPr>
        <w:t>tensive applications will be able to experiment with their applications in a much more widely distributed environment with a variety of computational capabilities. For example, their applications may ‘cloud-burst’ into GENI similar to EC2 cloud-bursting, b</w:t>
      </w:r>
      <w:r>
        <w:rPr>
          <w:rFonts w:ascii="Times New Roman" w:eastAsia="Times New Roman" w:hAnsi="Times New Roman" w:cs="Times New Roman"/>
        </w:rPr>
        <w:t>ut with the added advantage of more stringent guarantees of network performance, unachievable in the public Internet and with public clouds.</w:t>
      </w:r>
    </w:p>
    <w:p w:rsidR="0024285E" w:rsidRDefault="0024285E">
      <w:pPr>
        <w:pStyle w:val="normal0"/>
      </w:pPr>
    </w:p>
    <w:p w:rsidR="0024285E" w:rsidRDefault="006B6448">
      <w:pPr>
        <w:pStyle w:val="normal0"/>
      </w:pPr>
      <w:r>
        <w:rPr>
          <w:rFonts w:ascii="Times New Roman" w:eastAsia="Times New Roman" w:hAnsi="Times New Roman" w:cs="Times New Roman"/>
        </w:rPr>
        <w:t>(b) Educational activities</w:t>
      </w:r>
      <w:r>
        <w:rPr>
          <w:rFonts w:ascii="Times New Roman" w:eastAsia="Times New Roman" w:hAnsi="Times New Roman" w:cs="Times New Roman"/>
          <w:b/>
        </w:rPr>
        <w:t xml:space="preserve"> </w:t>
      </w:r>
    </w:p>
    <w:p w:rsidR="0024285E" w:rsidRDefault="0024285E">
      <w:pPr>
        <w:pStyle w:val="normal0"/>
      </w:pPr>
    </w:p>
    <w:p w:rsidR="0024285E" w:rsidRDefault="006B6448">
      <w:pPr>
        <w:pStyle w:val="normal0"/>
        <w:jc w:val="both"/>
      </w:pPr>
      <w:r>
        <w:rPr>
          <w:rFonts w:ascii="Times New Roman" w:eastAsia="Times New Roman" w:hAnsi="Times New Roman" w:cs="Times New Roman"/>
        </w:rPr>
        <w:t>GENI and FutureGrid can bring activities in regards to an integrated educational agen</w:t>
      </w:r>
      <w:r>
        <w:rPr>
          <w:rFonts w:ascii="Times New Roman" w:eastAsia="Times New Roman" w:hAnsi="Times New Roman" w:cs="Times New Roman"/>
        </w:rPr>
        <w:t xml:space="preserve">da to the user communities, while not only focussing on the unique expertise each of them provide, but also by integrating this expertise into a new set of material that can be exploited through MOOCs. FutureGrid has shown that such educational activities </w:t>
      </w:r>
      <w:r>
        <w:rPr>
          <w:rFonts w:ascii="Times New Roman" w:eastAsia="Times New Roman" w:hAnsi="Times New Roman" w:cs="Times New Roman"/>
        </w:rPr>
        <w:t>are also contributed by the community.</w:t>
      </w:r>
    </w:p>
    <w:p w:rsidR="0024285E" w:rsidRDefault="0024285E">
      <w:pPr>
        <w:pStyle w:val="normal0"/>
        <w:jc w:val="both"/>
      </w:pPr>
    </w:p>
    <w:p w:rsidR="0024285E" w:rsidRDefault="006B6448">
      <w:pPr>
        <w:pStyle w:val="normal0"/>
        <w:jc w:val="both"/>
      </w:pPr>
      <w:r>
        <w:rPr>
          <w:rFonts w:ascii="Times New Roman" w:eastAsia="Times New Roman" w:hAnsi="Times New Roman" w:cs="Times New Roman"/>
        </w:rPr>
        <w:t>FutureGrid participants will both benefit from and contribute to the growing body of educational materials available for GENI experimenter community.</w:t>
      </w:r>
    </w:p>
    <w:p w:rsidR="0024285E" w:rsidRDefault="0024285E">
      <w:pPr>
        <w:pStyle w:val="normal0"/>
      </w:pPr>
    </w:p>
    <w:p w:rsidR="0024285E" w:rsidRDefault="006B6448">
      <w:pPr>
        <w:pStyle w:val="normal0"/>
      </w:pPr>
      <w:r>
        <w:rPr>
          <w:rFonts w:ascii="Times New Roman" w:eastAsia="Times New Roman" w:hAnsi="Times New Roman" w:cs="Times New Roman"/>
          <w:b/>
        </w:rPr>
        <w:t>Area 2.</w:t>
      </w:r>
    </w:p>
    <w:p w:rsidR="0024285E" w:rsidRDefault="006B6448">
      <w:pPr>
        <w:pStyle w:val="normal0"/>
      </w:pPr>
      <w:r>
        <w:rPr>
          <w:rFonts w:ascii="Times New Roman" w:eastAsia="Times New Roman" w:hAnsi="Times New Roman" w:cs="Times New Roman"/>
        </w:rPr>
        <w:t>(a) Virtual IaaS, PaaS and SaaS</w:t>
      </w:r>
    </w:p>
    <w:p w:rsidR="0024285E" w:rsidRDefault="0024285E">
      <w:pPr>
        <w:pStyle w:val="normal0"/>
        <w:jc w:val="both"/>
      </w:pPr>
    </w:p>
    <w:p w:rsidR="0024285E" w:rsidRDefault="006B6448">
      <w:pPr>
        <w:pStyle w:val="normal0"/>
        <w:jc w:val="both"/>
      </w:pPr>
      <w:r>
        <w:rPr>
          <w:rFonts w:ascii="Times New Roman" w:eastAsia="Times New Roman" w:hAnsi="Times New Roman" w:cs="Times New Roman"/>
        </w:rPr>
        <w:t>A significant value that</w:t>
      </w:r>
      <w:r>
        <w:rPr>
          <w:rFonts w:ascii="Times New Roman" w:eastAsia="Times New Roman" w:hAnsi="Times New Roman" w:cs="Times New Roman"/>
        </w:rPr>
        <w:t xml:space="preserve"> FutureGrid and GENI can provide to the community is the creation of testbeds for the community allowing users not only to access a production system, but also to deploy and instantiate their own modified versions of the software stack. Undoubtedly, this i</w:t>
      </w:r>
      <w:r>
        <w:rPr>
          <w:rFonts w:ascii="Times New Roman" w:eastAsia="Times New Roman" w:hAnsi="Times New Roman" w:cs="Times New Roman"/>
        </w:rPr>
        <w:t>s needed to develop the next generation cloud and network software and not just provide access to a production level system. The availability to the community of such environments is paramount towards scalability experiments.</w:t>
      </w:r>
    </w:p>
    <w:p w:rsidR="0024285E" w:rsidRDefault="0024285E">
      <w:pPr>
        <w:pStyle w:val="normal0"/>
        <w:jc w:val="both"/>
      </w:pPr>
    </w:p>
    <w:p w:rsidR="0024285E" w:rsidRDefault="006B6448">
      <w:pPr>
        <w:pStyle w:val="normal0"/>
        <w:jc w:val="both"/>
      </w:pPr>
      <w:r>
        <w:rPr>
          <w:rFonts w:ascii="Times New Roman" w:eastAsia="Times New Roman" w:hAnsi="Times New Roman" w:cs="Times New Roman"/>
        </w:rPr>
        <w:t>By offering these services un</w:t>
      </w:r>
      <w:r>
        <w:rPr>
          <w:rFonts w:ascii="Times New Roman" w:eastAsia="Times New Roman" w:hAnsi="Times New Roman" w:cs="Times New Roman"/>
        </w:rPr>
        <w:t>der the umbrella of GENI tools to GENI users, FutureGrid would benefit the GENI community by offering a wider range of capabilities, than available today</w:t>
      </w:r>
    </w:p>
    <w:p w:rsidR="0024285E" w:rsidRDefault="0024285E">
      <w:pPr>
        <w:pStyle w:val="normal0"/>
      </w:pPr>
    </w:p>
    <w:p w:rsidR="0024285E" w:rsidRDefault="006B6448">
      <w:pPr>
        <w:pStyle w:val="normal0"/>
      </w:pPr>
      <w:r>
        <w:rPr>
          <w:rFonts w:ascii="Times New Roman" w:eastAsia="Times New Roman" w:hAnsi="Times New Roman" w:cs="Times New Roman"/>
          <w:b/>
        </w:rPr>
        <w:t>(</w:t>
      </w:r>
      <w:r>
        <w:rPr>
          <w:rFonts w:ascii="Times New Roman" w:eastAsia="Times New Roman" w:hAnsi="Times New Roman" w:cs="Times New Roman"/>
        </w:rPr>
        <w:t xml:space="preserve">b) Broadening technologies </w:t>
      </w:r>
    </w:p>
    <w:p w:rsidR="0024285E" w:rsidRDefault="0024285E">
      <w:pPr>
        <w:pStyle w:val="normal0"/>
      </w:pPr>
    </w:p>
    <w:p w:rsidR="0024285E" w:rsidRDefault="006B6448">
      <w:pPr>
        <w:pStyle w:val="normal0"/>
        <w:jc w:val="both"/>
      </w:pPr>
      <w:r>
        <w:rPr>
          <w:rFonts w:ascii="Times New Roman" w:eastAsia="Times New Roman" w:hAnsi="Times New Roman" w:cs="Times New Roman"/>
        </w:rPr>
        <w:t xml:space="preserve">GENI relies on a fairly narrow range of technologies to enable compute </w:t>
      </w:r>
      <w:r>
        <w:rPr>
          <w:rFonts w:ascii="Times New Roman" w:eastAsia="Times New Roman" w:hAnsi="Times New Roman" w:cs="Times New Roman"/>
        </w:rPr>
        <w:t>substrate provisioning. ProtoGENI uses Freesbee, while ExoGENI uses OpenStack and xCAT. The experience of the FutureGrid team with other cloud technologies (e.g. OpenNebula, Nimbus, CloudStack, see Figure 2) and the inclusion of these technologies into GEN</w:t>
      </w:r>
      <w:r>
        <w:rPr>
          <w:rFonts w:ascii="Times New Roman" w:eastAsia="Times New Roman" w:hAnsi="Times New Roman" w:cs="Times New Roman"/>
        </w:rPr>
        <w:t xml:space="preserve">I federation, as part of the proposed effort, would broaden the acceptance of GENI (and the GENI model of federated resource provisioning) in other communities of interest. </w:t>
      </w:r>
    </w:p>
    <w:p w:rsidR="0024285E" w:rsidRDefault="0024285E">
      <w:pPr>
        <w:pStyle w:val="normal0"/>
        <w:jc w:val="both"/>
      </w:pPr>
    </w:p>
    <w:p w:rsidR="0024285E" w:rsidRDefault="006B6448">
      <w:pPr>
        <w:pStyle w:val="normal0"/>
        <w:jc w:val="both"/>
      </w:pPr>
      <w:r>
        <w:rPr>
          <w:rFonts w:ascii="Times New Roman" w:eastAsia="Times New Roman" w:hAnsi="Times New Roman" w:cs="Times New Roman"/>
        </w:rPr>
        <w:t>FutureGrid tools like Rain as well as extensive cross-cloud FG image management capabilities would add unique features to the capabilities of GENI experimenters, by enabling their experiments to be launched on a variety of cloud platforms. This would allow</w:t>
      </w:r>
      <w:r>
        <w:rPr>
          <w:rFonts w:ascii="Times New Roman" w:eastAsia="Times New Roman" w:hAnsi="Times New Roman" w:cs="Times New Roman"/>
        </w:rPr>
        <w:t xml:space="preserve"> meaningful comparisons and evolution of those technologies and spur innovations in this area.</w:t>
      </w:r>
    </w:p>
    <w:p w:rsidR="0024285E" w:rsidRDefault="0024285E">
      <w:pPr>
        <w:pStyle w:val="normal0"/>
      </w:pPr>
    </w:p>
    <w:p w:rsidR="0024285E" w:rsidRDefault="006B6448">
      <w:pPr>
        <w:pStyle w:val="normal0"/>
      </w:pPr>
      <w:r>
        <w:rPr>
          <w:rFonts w:ascii="Times New Roman" w:eastAsia="Times New Roman" w:hAnsi="Times New Roman" w:cs="Times New Roman"/>
          <w:b/>
        </w:rPr>
        <w:t>Area 3.</w:t>
      </w:r>
    </w:p>
    <w:p w:rsidR="0024285E" w:rsidRDefault="006B6448">
      <w:pPr>
        <w:pStyle w:val="normal0"/>
      </w:pPr>
      <w:r>
        <w:rPr>
          <w:rFonts w:ascii="Times New Roman" w:eastAsia="Times New Roman" w:hAnsi="Times New Roman" w:cs="Times New Roman"/>
        </w:rPr>
        <w:t>(a) From Virtual to Baremetal Services</w:t>
      </w:r>
    </w:p>
    <w:p w:rsidR="0024285E" w:rsidRDefault="0024285E">
      <w:pPr>
        <w:pStyle w:val="normal0"/>
      </w:pPr>
    </w:p>
    <w:p w:rsidR="0024285E" w:rsidRDefault="006B6448">
      <w:pPr>
        <w:pStyle w:val="normal0"/>
        <w:jc w:val="both"/>
      </w:pPr>
      <w:r>
        <w:rPr>
          <w:rFonts w:ascii="Times New Roman" w:eastAsia="Times New Roman" w:hAnsi="Times New Roman" w:cs="Times New Roman"/>
        </w:rPr>
        <w:t>Once services are tested in virtual environments there is also a need for experimenting with them on bare metal,</w:t>
      </w:r>
      <w:r>
        <w:rPr>
          <w:rFonts w:ascii="Times New Roman" w:eastAsia="Times New Roman" w:hAnsi="Times New Roman" w:cs="Times New Roman"/>
        </w:rPr>
        <w:t xml:space="preserve"> to contrast scalability and performance characteristics. The features that GENI and FutureGrid provide will be a useful extension as it allows to create templated images that can be first tested in a virtual environment and than be deployed on baremetal. </w:t>
      </w:r>
      <w:r>
        <w:rPr>
          <w:rFonts w:ascii="Times New Roman" w:eastAsia="Times New Roman" w:hAnsi="Times New Roman" w:cs="Times New Roman"/>
        </w:rPr>
        <w:t>Such an environment is also important to isolate the experiments from other influences and create a more clear understanding about how virtual and non virtual environments are influencing the services including infrastructure, platform and software.</w:t>
      </w:r>
    </w:p>
    <w:p w:rsidR="0024285E" w:rsidRDefault="0024285E">
      <w:pPr>
        <w:pStyle w:val="normal0"/>
      </w:pPr>
    </w:p>
    <w:p w:rsidR="0024285E" w:rsidRDefault="006B6448">
      <w:pPr>
        <w:pStyle w:val="normal0"/>
        <w:jc w:val="both"/>
      </w:pPr>
      <w:r>
        <w:rPr>
          <w:rFonts w:ascii="Times New Roman" w:eastAsia="Times New Roman" w:hAnsi="Times New Roman" w:cs="Times New Roman"/>
        </w:rPr>
        <w:t xml:space="preserve">This </w:t>
      </w:r>
      <w:r>
        <w:rPr>
          <w:rFonts w:ascii="Times New Roman" w:eastAsia="Times New Roman" w:hAnsi="Times New Roman" w:cs="Times New Roman"/>
        </w:rPr>
        <w:t>type of a transition is difficult in today’s GENI environment, however the federation between FutureGrid and GENI would present an opportunity to build this mechanism into the foundational set of GENI technologies, thus enabling new types of activities bot</w:t>
      </w:r>
      <w:r>
        <w:rPr>
          <w:rFonts w:ascii="Times New Roman" w:eastAsia="Times New Roman" w:hAnsi="Times New Roman" w:cs="Times New Roman"/>
        </w:rPr>
        <w:t>h in computational sciences as well as in computer science experimentation.</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24285E">
        <w:tblPrEx>
          <w:tblCellMar>
            <w:top w:w="0" w:type="dxa"/>
            <w:bottom w:w="0" w:type="dxa"/>
          </w:tblCellMar>
        </w:tblPrEx>
        <w:tc>
          <w:tcPr>
            <w:tcW w:w="2340" w:type="dxa"/>
            <w:tcMar>
              <w:top w:w="100" w:type="dxa"/>
              <w:left w:w="100" w:type="dxa"/>
              <w:bottom w:w="100" w:type="dxa"/>
              <w:right w:w="100" w:type="dxa"/>
            </w:tcMar>
          </w:tcPr>
          <w:p w:rsidR="0024285E" w:rsidRDefault="006B6448">
            <w:pPr>
              <w:pStyle w:val="normal0"/>
              <w:spacing w:line="240" w:lineRule="auto"/>
            </w:pPr>
            <w:r>
              <w:rPr>
                <w:noProof/>
                <w:lang w:eastAsia="en-US"/>
              </w:rPr>
              <w:drawing>
                <wp:inline distT="0" distB="0" distL="0" distR="0">
                  <wp:extent cx="2276475" cy="17145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3"/>
                          <a:stretch>
                            <a:fillRect/>
                          </a:stretch>
                        </pic:blipFill>
                        <pic:spPr>
                          <a:xfrm>
                            <a:off x="0" y="0"/>
                            <a:ext cx="2276475" cy="1714500"/>
                          </a:xfrm>
                          <a:prstGeom prst="rect">
                            <a:avLst/>
                          </a:prstGeom>
                        </pic:spPr>
                      </pic:pic>
                    </a:graphicData>
                  </a:graphic>
                </wp:inline>
              </w:drawing>
            </w:r>
          </w:p>
        </w:tc>
        <w:tc>
          <w:tcPr>
            <w:tcW w:w="2340" w:type="dxa"/>
            <w:tcMar>
              <w:top w:w="100" w:type="dxa"/>
              <w:left w:w="100" w:type="dxa"/>
              <w:bottom w:w="100" w:type="dxa"/>
              <w:right w:w="100" w:type="dxa"/>
            </w:tcMar>
          </w:tcPr>
          <w:p w:rsidR="0024285E" w:rsidRDefault="006B6448">
            <w:pPr>
              <w:pStyle w:val="normal0"/>
              <w:spacing w:line="240" w:lineRule="auto"/>
            </w:pPr>
            <w:r>
              <w:rPr>
                <w:noProof/>
                <w:lang w:eastAsia="en-US"/>
              </w:rPr>
              <w:drawing>
                <wp:inline distT="0" distB="0" distL="0" distR="0">
                  <wp:extent cx="3124200" cy="185737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4"/>
                          <a:stretch>
                            <a:fillRect/>
                          </a:stretch>
                        </pic:blipFill>
                        <pic:spPr>
                          <a:xfrm>
                            <a:off x="0" y="0"/>
                            <a:ext cx="3124200" cy="1857375"/>
                          </a:xfrm>
                          <a:prstGeom prst="rect">
                            <a:avLst/>
                          </a:prstGeom>
                        </pic:spPr>
                      </pic:pic>
                    </a:graphicData>
                  </a:graphic>
                </wp:inline>
              </w:drawing>
            </w:r>
          </w:p>
        </w:tc>
      </w:tr>
      <w:tr w:rsidR="0024285E">
        <w:tblPrEx>
          <w:tblCellMar>
            <w:top w:w="0" w:type="dxa"/>
            <w:bottom w:w="0" w:type="dxa"/>
          </w:tblCellMar>
        </w:tblPrEx>
        <w:trPr>
          <w:trHeight w:val="980"/>
        </w:trPr>
        <w:tc>
          <w:tcPr>
            <w:tcW w:w="2340" w:type="dxa"/>
            <w:tcMar>
              <w:top w:w="100" w:type="dxa"/>
              <w:left w:w="100" w:type="dxa"/>
              <w:bottom w:w="100" w:type="dxa"/>
              <w:right w:w="100" w:type="dxa"/>
            </w:tcMar>
          </w:tcPr>
          <w:p w:rsidR="0024285E" w:rsidRDefault="006B6448">
            <w:pPr>
              <w:pStyle w:val="normal0"/>
            </w:pPr>
            <w:r>
              <w:rPr>
                <w:rFonts w:ascii="Times New Roman" w:eastAsia="Times New Roman" w:hAnsi="Times New Roman" w:cs="Times New Roman"/>
              </w:rPr>
              <w:t>Figure 1. Distribution of the users on FutureGrid as Feb. 2013</w:t>
            </w:r>
          </w:p>
          <w:p w:rsidR="0024285E" w:rsidRDefault="0024285E">
            <w:pPr>
              <w:pStyle w:val="normal0"/>
              <w:spacing w:line="240" w:lineRule="auto"/>
            </w:pPr>
          </w:p>
        </w:tc>
        <w:tc>
          <w:tcPr>
            <w:tcW w:w="2340" w:type="dxa"/>
            <w:tcMar>
              <w:top w:w="100" w:type="dxa"/>
              <w:left w:w="100" w:type="dxa"/>
              <w:bottom w:w="100" w:type="dxa"/>
              <w:right w:w="100" w:type="dxa"/>
            </w:tcMar>
          </w:tcPr>
          <w:p w:rsidR="0024285E" w:rsidRDefault="006B6448">
            <w:pPr>
              <w:pStyle w:val="normal0"/>
              <w:spacing w:line="240" w:lineRule="auto"/>
            </w:pPr>
            <w:r>
              <w:rPr>
                <w:rFonts w:ascii="Times New Roman" w:eastAsia="Times New Roman" w:hAnsi="Times New Roman" w:cs="Times New Roman"/>
              </w:rPr>
              <w:t>Figure 2. Technologies requested by the Project owners</w:t>
            </w:r>
          </w:p>
        </w:tc>
      </w:tr>
    </w:tbl>
    <w:p w:rsidR="0024285E" w:rsidRDefault="0024285E">
      <w:pPr>
        <w:pStyle w:val="normal0"/>
      </w:pPr>
    </w:p>
    <w:p w:rsidR="0024285E" w:rsidRDefault="006B6448">
      <w:pPr>
        <w:pStyle w:val="Heading3"/>
      </w:pPr>
      <w:bookmarkStart w:id="4" w:name="h.4odod12frr4x" w:colFirst="0" w:colLast="0"/>
      <w:bookmarkEnd w:id="4"/>
      <w:r>
        <w:rPr>
          <w:rFonts w:ascii="Times New Roman" w:eastAsia="Times New Roman" w:hAnsi="Times New Roman" w:cs="Times New Roman"/>
          <w:color w:val="000000"/>
          <w:u w:val="single"/>
        </w:rPr>
        <w:t>Summary of proposed activities</w:t>
      </w:r>
    </w:p>
    <w:p w:rsidR="0024285E" w:rsidRDefault="0024285E">
      <w:pPr>
        <w:pStyle w:val="normal0"/>
      </w:pPr>
    </w:p>
    <w:p w:rsidR="0024285E" w:rsidRDefault="006B6448">
      <w:pPr>
        <w:pStyle w:val="normal0"/>
      </w:pPr>
      <w:r>
        <w:rPr>
          <w:rFonts w:ascii="Times New Roman" w:eastAsia="Times New Roman" w:hAnsi="Times New Roman" w:cs="Times New Roman"/>
        </w:rPr>
        <w:t>Multiple steps will be required in order to achieve the federation between FutureGrid and GENI. The tasks will be undertaken jointly by IU, RENCI and Duke, leveraging their deep expertise in these areas. We propose the following progression:</w:t>
      </w:r>
    </w:p>
    <w:p w:rsidR="0024285E" w:rsidRDefault="0024285E">
      <w:pPr>
        <w:pStyle w:val="normal0"/>
      </w:pPr>
    </w:p>
    <w:p w:rsidR="0024285E" w:rsidRDefault="0024285E">
      <w:pPr>
        <w:pStyle w:val="normal0"/>
      </w:pPr>
    </w:p>
    <w:p w:rsidR="0024285E" w:rsidRDefault="0024285E">
      <w:pPr>
        <w:pStyle w:val="normal0"/>
      </w:pPr>
    </w:p>
    <w:p w:rsidR="0024285E" w:rsidRDefault="0024285E">
      <w:pPr>
        <w:pStyle w:val="normal0"/>
      </w:pPr>
    </w:p>
    <w:p w:rsidR="0024285E" w:rsidRDefault="0024285E">
      <w:pPr>
        <w:pStyle w:val="normal0"/>
      </w:pPr>
    </w:p>
    <w:tbl>
      <w:tblPr>
        <w:tblW w:w="62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599"/>
        <w:gridCol w:w="2561"/>
        <w:gridCol w:w="2080"/>
      </w:tblGrid>
      <w:tr w:rsidR="0024285E">
        <w:tblPrEx>
          <w:tblCellMar>
            <w:top w:w="0" w:type="dxa"/>
            <w:bottom w:w="0" w:type="dxa"/>
          </w:tblCellMar>
        </w:tblPrEx>
        <w:tc>
          <w:tcPr>
            <w:tcW w:w="2370" w:type="dxa"/>
            <w:tcMar>
              <w:top w:w="100" w:type="dxa"/>
              <w:left w:w="100" w:type="dxa"/>
              <w:bottom w:w="100" w:type="dxa"/>
              <w:right w:w="100" w:type="dxa"/>
            </w:tcMar>
          </w:tcPr>
          <w:p w:rsidR="0024285E" w:rsidRDefault="006B6448">
            <w:pPr>
              <w:pStyle w:val="normal0"/>
              <w:spacing w:line="240" w:lineRule="auto"/>
            </w:pPr>
            <w:r>
              <w:rPr>
                <w:rFonts w:ascii="Times New Roman" w:eastAsia="Times New Roman" w:hAnsi="Times New Roman" w:cs="Times New Roman"/>
                <w:b/>
              </w:rPr>
              <w:t>Step</w:t>
            </w:r>
          </w:p>
        </w:tc>
        <w:tc>
          <w:tcPr>
            <w:tcW w:w="3870" w:type="dxa"/>
            <w:tcMar>
              <w:top w:w="100" w:type="dxa"/>
              <w:left w:w="100" w:type="dxa"/>
              <w:bottom w:w="100" w:type="dxa"/>
              <w:right w:w="100" w:type="dxa"/>
            </w:tcMar>
          </w:tcPr>
          <w:p w:rsidR="0024285E" w:rsidRDefault="006B6448">
            <w:pPr>
              <w:pStyle w:val="normal0"/>
              <w:spacing w:line="240" w:lineRule="auto"/>
            </w:pPr>
            <w:r>
              <w:rPr>
                <w:rFonts w:ascii="Times New Roman" w:eastAsia="Times New Roman" w:hAnsi="Times New Roman" w:cs="Times New Roman"/>
                <w:b/>
              </w:rPr>
              <w:t>Desc</w:t>
            </w:r>
            <w:r>
              <w:rPr>
                <w:rFonts w:ascii="Times New Roman" w:eastAsia="Times New Roman" w:hAnsi="Times New Roman" w:cs="Times New Roman"/>
                <w:b/>
              </w:rPr>
              <w:t>ription</w:t>
            </w:r>
          </w:p>
        </w:tc>
        <w:tc>
          <w:tcPr>
            <w:tcW w:w="3120" w:type="dxa"/>
            <w:tcMar>
              <w:top w:w="100" w:type="dxa"/>
              <w:left w:w="100" w:type="dxa"/>
              <w:bottom w:w="100" w:type="dxa"/>
              <w:right w:w="100" w:type="dxa"/>
            </w:tcMar>
          </w:tcPr>
          <w:p w:rsidR="0024285E" w:rsidRDefault="006B6448">
            <w:pPr>
              <w:pStyle w:val="normal0"/>
              <w:spacing w:line="240" w:lineRule="auto"/>
            </w:pPr>
            <w:r>
              <w:rPr>
                <w:rFonts w:ascii="Times New Roman" w:eastAsia="Times New Roman" w:hAnsi="Times New Roman" w:cs="Times New Roman"/>
                <w:b/>
              </w:rPr>
              <w:t>Outcome</w:t>
            </w:r>
          </w:p>
        </w:tc>
      </w:tr>
      <w:tr w:rsidR="0024285E">
        <w:tblPrEx>
          <w:tblCellMar>
            <w:top w:w="0" w:type="dxa"/>
            <w:bottom w:w="0" w:type="dxa"/>
          </w:tblCellMar>
        </w:tblPrEx>
        <w:tc>
          <w:tcPr>
            <w:tcW w:w="2370" w:type="dxa"/>
            <w:tcMar>
              <w:top w:w="100" w:type="dxa"/>
              <w:left w:w="100" w:type="dxa"/>
              <w:bottom w:w="100" w:type="dxa"/>
              <w:right w:w="100" w:type="dxa"/>
            </w:tcMar>
          </w:tcPr>
          <w:p w:rsidR="0024285E" w:rsidRDefault="006B6448">
            <w:pPr>
              <w:pStyle w:val="normal0"/>
            </w:pPr>
            <w:r>
              <w:rPr>
                <w:rFonts w:ascii="Times New Roman" w:eastAsia="Times New Roman" w:hAnsi="Times New Roman" w:cs="Times New Roman"/>
              </w:rPr>
              <w:t>Initial integration between portions of FG using OpenStack and xCAT and GENI (using ORCA control framework)</w:t>
            </w:r>
          </w:p>
          <w:p w:rsidR="0024285E" w:rsidRDefault="0024285E">
            <w:pPr>
              <w:pStyle w:val="normal0"/>
              <w:spacing w:line="240" w:lineRule="auto"/>
            </w:pPr>
          </w:p>
        </w:tc>
        <w:tc>
          <w:tcPr>
            <w:tcW w:w="3870" w:type="dxa"/>
            <w:tcMar>
              <w:top w:w="100" w:type="dxa"/>
              <w:left w:w="100" w:type="dxa"/>
              <w:bottom w:w="100" w:type="dxa"/>
              <w:right w:w="100" w:type="dxa"/>
            </w:tcMar>
          </w:tcPr>
          <w:p w:rsidR="0024285E" w:rsidRDefault="006B6448">
            <w:pPr>
              <w:pStyle w:val="normal0"/>
              <w:spacing w:line="240" w:lineRule="auto"/>
            </w:pPr>
            <w:r>
              <w:rPr>
                <w:rFonts w:ascii="Times New Roman" w:eastAsia="Times New Roman" w:hAnsi="Times New Roman" w:cs="Times New Roman"/>
              </w:rPr>
              <w:t xml:space="preserve">Given that ORCA already manages OpenStack and xCAT installations, we expect a relatively minor porting effort aimed at equalizing Layer 2 networking capabilities between versions of OpenStack deployed in ExoGENI and FG. </w:t>
            </w:r>
          </w:p>
          <w:p w:rsidR="0024285E" w:rsidRDefault="006B6448">
            <w:pPr>
              <w:pStyle w:val="normal0"/>
              <w:spacing w:line="240" w:lineRule="auto"/>
            </w:pPr>
            <w:r>
              <w:rPr>
                <w:rFonts w:ascii="Times New Roman" w:eastAsia="Times New Roman" w:hAnsi="Times New Roman" w:cs="Times New Roman"/>
              </w:rPr>
              <w:t>This step would also involve enabli</w:t>
            </w:r>
            <w:r>
              <w:rPr>
                <w:rFonts w:ascii="Times New Roman" w:eastAsia="Times New Roman" w:hAnsi="Times New Roman" w:cs="Times New Roman"/>
              </w:rPr>
              <w:t xml:space="preserve">ng connections between FG and GENI using I2 Layer 2 backbone. </w:t>
            </w:r>
          </w:p>
        </w:tc>
        <w:tc>
          <w:tcPr>
            <w:tcW w:w="3120" w:type="dxa"/>
            <w:tcMar>
              <w:top w:w="100" w:type="dxa"/>
              <w:left w:w="100" w:type="dxa"/>
              <w:bottom w:w="100" w:type="dxa"/>
              <w:right w:w="100" w:type="dxa"/>
            </w:tcMar>
          </w:tcPr>
          <w:p w:rsidR="0024285E" w:rsidRDefault="006B6448">
            <w:pPr>
              <w:pStyle w:val="normal0"/>
              <w:spacing w:line="240" w:lineRule="auto"/>
            </w:pPr>
            <w:r>
              <w:rPr>
                <w:rFonts w:ascii="Times New Roman" w:eastAsia="Times New Roman" w:hAnsi="Times New Roman" w:cs="Times New Roman"/>
              </w:rPr>
              <w:t>FG users with GENI credentials and regular GENI users will be able to use the FG as well as other GENI resources, connect them using GENI stitching with each other for the purpose of experiment</w:t>
            </w:r>
            <w:r>
              <w:rPr>
                <w:rFonts w:ascii="Times New Roman" w:eastAsia="Times New Roman" w:hAnsi="Times New Roman" w:cs="Times New Roman"/>
              </w:rPr>
              <w:t>al activities.</w:t>
            </w:r>
          </w:p>
        </w:tc>
      </w:tr>
      <w:tr w:rsidR="0024285E">
        <w:tblPrEx>
          <w:tblCellMar>
            <w:top w:w="0" w:type="dxa"/>
            <w:bottom w:w="0" w:type="dxa"/>
          </w:tblCellMar>
        </w:tblPrEx>
        <w:tc>
          <w:tcPr>
            <w:tcW w:w="2370" w:type="dxa"/>
            <w:tcMar>
              <w:top w:w="100" w:type="dxa"/>
              <w:left w:w="100" w:type="dxa"/>
              <w:bottom w:w="100" w:type="dxa"/>
              <w:right w:w="100" w:type="dxa"/>
            </w:tcMar>
          </w:tcPr>
          <w:p w:rsidR="0024285E" w:rsidRDefault="006B6448">
            <w:pPr>
              <w:pStyle w:val="normal0"/>
              <w:spacing w:line="240" w:lineRule="auto"/>
            </w:pPr>
            <w:r>
              <w:rPr>
                <w:rFonts w:ascii="Times New Roman" w:eastAsia="Times New Roman" w:hAnsi="Times New Roman" w:cs="Times New Roman"/>
              </w:rPr>
              <w:t>Integration with FG tools</w:t>
            </w:r>
          </w:p>
        </w:tc>
        <w:tc>
          <w:tcPr>
            <w:tcW w:w="3870" w:type="dxa"/>
            <w:tcMar>
              <w:top w:w="100" w:type="dxa"/>
              <w:left w:w="100" w:type="dxa"/>
              <w:bottom w:w="100" w:type="dxa"/>
              <w:right w:w="100" w:type="dxa"/>
            </w:tcMar>
          </w:tcPr>
          <w:p w:rsidR="0024285E" w:rsidRDefault="006B6448">
            <w:pPr>
              <w:pStyle w:val="normal0"/>
              <w:spacing w:line="240" w:lineRule="auto"/>
            </w:pPr>
            <w:r>
              <w:rPr>
                <w:rFonts w:ascii="Times New Roman" w:eastAsia="Times New Roman" w:hAnsi="Times New Roman" w:cs="Times New Roman"/>
              </w:rPr>
              <w:t xml:space="preserve">This step include deeper integration with FG tools (e.g. Rain) to support a broader range of traditional activities on FG using GENI tools and APIs. </w:t>
            </w:r>
          </w:p>
          <w:p w:rsidR="0024285E" w:rsidRDefault="006B6448">
            <w:pPr>
              <w:pStyle w:val="normal0"/>
              <w:spacing w:line="240" w:lineRule="auto"/>
            </w:pPr>
            <w:r>
              <w:rPr>
                <w:rFonts w:ascii="Times New Roman" w:eastAsia="Times New Roman" w:hAnsi="Times New Roman" w:cs="Times New Roman"/>
              </w:rPr>
              <w:t>While continuing to use OpenStack, we will investigate the neces</w:t>
            </w:r>
            <w:r>
              <w:rPr>
                <w:rFonts w:ascii="Times New Roman" w:eastAsia="Times New Roman" w:hAnsi="Times New Roman" w:cs="Times New Roman"/>
              </w:rPr>
              <w:t xml:space="preserve">sary steps to enhance Layer 2 capabilities of other FG technologies (e.g. Nebula, CloudStack) in preparation for the following step. </w:t>
            </w:r>
          </w:p>
          <w:p w:rsidR="0024285E" w:rsidRDefault="006B6448">
            <w:pPr>
              <w:pStyle w:val="normal0"/>
              <w:spacing w:line="240" w:lineRule="auto"/>
            </w:pPr>
            <w:r>
              <w:rPr>
                <w:rFonts w:ascii="Times New Roman" w:eastAsia="Times New Roman" w:hAnsi="Times New Roman" w:cs="Times New Roman"/>
              </w:rPr>
              <w:t xml:space="preserve">This step would involve enhancing GENI resource description capabilities to enable the use of these FG tools. To simplify </w:t>
            </w:r>
            <w:r>
              <w:rPr>
                <w:rFonts w:ascii="Times New Roman" w:eastAsia="Times New Roman" w:hAnsi="Times New Roman" w:cs="Times New Roman"/>
              </w:rPr>
              <w:t>the integration we will be looking into defining an abstraction level that makes the integration with other bare metal provisioners possible.</w:t>
            </w:r>
          </w:p>
        </w:tc>
        <w:tc>
          <w:tcPr>
            <w:tcW w:w="3120" w:type="dxa"/>
            <w:tcMar>
              <w:top w:w="100" w:type="dxa"/>
              <w:left w:w="100" w:type="dxa"/>
              <w:bottom w:w="100" w:type="dxa"/>
              <w:right w:w="100" w:type="dxa"/>
            </w:tcMar>
          </w:tcPr>
          <w:p w:rsidR="0024285E" w:rsidRDefault="006B6448">
            <w:pPr>
              <w:pStyle w:val="normal0"/>
              <w:spacing w:line="240" w:lineRule="auto"/>
            </w:pPr>
            <w:r>
              <w:rPr>
                <w:rFonts w:ascii="Times New Roman" w:eastAsia="Times New Roman" w:hAnsi="Times New Roman" w:cs="Times New Roman"/>
              </w:rPr>
              <w:t>Greater freedom for experimenters to use advanced FG tools under GENI resource descriptions and APIs.</w:t>
            </w:r>
          </w:p>
        </w:tc>
      </w:tr>
      <w:tr w:rsidR="0024285E">
        <w:tblPrEx>
          <w:tblCellMar>
            <w:top w:w="0" w:type="dxa"/>
            <w:bottom w:w="0" w:type="dxa"/>
          </w:tblCellMar>
        </w:tblPrEx>
        <w:tc>
          <w:tcPr>
            <w:tcW w:w="2370" w:type="dxa"/>
            <w:tcMar>
              <w:top w:w="100" w:type="dxa"/>
              <w:left w:w="100" w:type="dxa"/>
              <w:bottom w:w="100" w:type="dxa"/>
              <w:right w:w="100" w:type="dxa"/>
            </w:tcMar>
          </w:tcPr>
          <w:p w:rsidR="0024285E" w:rsidRDefault="006B6448">
            <w:pPr>
              <w:pStyle w:val="normal0"/>
              <w:spacing w:line="240" w:lineRule="auto"/>
            </w:pPr>
            <w:r>
              <w:rPr>
                <w:rFonts w:ascii="Times New Roman" w:eastAsia="Times New Roman" w:hAnsi="Times New Roman" w:cs="Times New Roman"/>
              </w:rPr>
              <w:t>Integration</w:t>
            </w:r>
            <w:r>
              <w:rPr>
                <w:rFonts w:ascii="Times New Roman" w:eastAsia="Times New Roman" w:hAnsi="Times New Roman" w:cs="Times New Roman"/>
              </w:rPr>
              <w:t xml:space="preserve"> of other FG cloud technologies into GENI</w:t>
            </w:r>
          </w:p>
        </w:tc>
        <w:tc>
          <w:tcPr>
            <w:tcW w:w="3870" w:type="dxa"/>
            <w:tcMar>
              <w:top w:w="100" w:type="dxa"/>
              <w:left w:w="100" w:type="dxa"/>
              <w:bottom w:w="100" w:type="dxa"/>
              <w:right w:w="100" w:type="dxa"/>
            </w:tcMar>
          </w:tcPr>
          <w:p w:rsidR="0024285E" w:rsidRDefault="006B6448">
            <w:pPr>
              <w:pStyle w:val="normal0"/>
              <w:spacing w:line="240" w:lineRule="auto"/>
            </w:pPr>
            <w:r>
              <w:rPr>
                <w:rFonts w:ascii="Times New Roman" w:eastAsia="Times New Roman" w:hAnsi="Times New Roman" w:cs="Times New Roman"/>
              </w:rPr>
              <w:t xml:space="preserve">Using the outcomes of the previos step expand the reach of GENI API and resource descriptions to encompass the full range of FG capabilities and cloud technologies. </w:t>
            </w:r>
          </w:p>
        </w:tc>
        <w:tc>
          <w:tcPr>
            <w:tcW w:w="3120" w:type="dxa"/>
            <w:tcMar>
              <w:top w:w="100" w:type="dxa"/>
              <w:left w:w="100" w:type="dxa"/>
              <w:bottom w:w="100" w:type="dxa"/>
              <w:right w:w="100" w:type="dxa"/>
            </w:tcMar>
          </w:tcPr>
          <w:p w:rsidR="0024285E" w:rsidRDefault="006B6448">
            <w:pPr>
              <w:pStyle w:val="normal0"/>
              <w:spacing w:line="240" w:lineRule="auto"/>
            </w:pPr>
            <w:r>
              <w:rPr>
                <w:rFonts w:ascii="Times New Roman" w:eastAsia="Times New Roman" w:hAnsi="Times New Roman" w:cs="Times New Roman"/>
              </w:rPr>
              <w:t>Experimenters would be able to take full advanta</w:t>
            </w:r>
            <w:r>
              <w:rPr>
                <w:rFonts w:ascii="Times New Roman" w:eastAsia="Times New Roman" w:hAnsi="Times New Roman" w:cs="Times New Roman"/>
              </w:rPr>
              <w:t>ge of the FG infrastructure using GENI resource descriptions and APIs.</w:t>
            </w:r>
          </w:p>
        </w:tc>
      </w:tr>
      <w:tr w:rsidR="0024285E">
        <w:tblPrEx>
          <w:tblCellMar>
            <w:top w:w="0" w:type="dxa"/>
            <w:bottom w:w="0" w:type="dxa"/>
          </w:tblCellMar>
        </w:tblPrEx>
        <w:tc>
          <w:tcPr>
            <w:tcW w:w="2370" w:type="dxa"/>
            <w:tcMar>
              <w:top w:w="100" w:type="dxa"/>
              <w:left w:w="100" w:type="dxa"/>
              <w:bottom w:w="100" w:type="dxa"/>
              <w:right w:w="100" w:type="dxa"/>
            </w:tcMar>
          </w:tcPr>
          <w:p w:rsidR="0024285E" w:rsidRDefault="006B6448">
            <w:pPr>
              <w:pStyle w:val="normal0"/>
              <w:spacing w:line="240" w:lineRule="auto"/>
            </w:pPr>
            <w:r>
              <w:rPr>
                <w:rFonts w:ascii="Times New Roman" w:eastAsia="Times New Roman" w:hAnsi="Times New Roman" w:cs="Times New Roman"/>
              </w:rPr>
              <w:t>Development of Educational  materials for services used in FG and GENI</w:t>
            </w:r>
          </w:p>
        </w:tc>
        <w:tc>
          <w:tcPr>
            <w:tcW w:w="3870" w:type="dxa"/>
            <w:tcMar>
              <w:top w:w="100" w:type="dxa"/>
              <w:left w:w="100" w:type="dxa"/>
              <w:bottom w:w="100" w:type="dxa"/>
              <w:right w:w="100" w:type="dxa"/>
            </w:tcMar>
          </w:tcPr>
          <w:p w:rsidR="0024285E" w:rsidRDefault="006B6448">
            <w:pPr>
              <w:pStyle w:val="normal0"/>
              <w:spacing w:line="240" w:lineRule="auto"/>
            </w:pPr>
            <w:r>
              <w:rPr>
                <w:rFonts w:ascii="Times New Roman" w:eastAsia="Times New Roman" w:hAnsi="Times New Roman" w:cs="Times New Roman"/>
              </w:rPr>
              <w:t>Using the expertise of the two teams we will be developing new educational material that will focus on the newly available services to each community.</w:t>
            </w:r>
          </w:p>
        </w:tc>
        <w:tc>
          <w:tcPr>
            <w:tcW w:w="3120" w:type="dxa"/>
            <w:tcMar>
              <w:top w:w="100" w:type="dxa"/>
              <w:left w:w="100" w:type="dxa"/>
              <w:bottom w:w="100" w:type="dxa"/>
              <w:right w:w="100" w:type="dxa"/>
            </w:tcMar>
          </w:tcPr>
          <w:p w:rsidR="0024285E" w:rsidRDefault="006B6448">
            <w:pPr>
              <w:pStyle w:val="normal0"/>
              <w:spacing w:line="240" w:lineRule="auto"/>
            </w:pPr>
            <w:r>
              <w:rPr>
                <w:rFonts w:ascii="Times New Roman" w:eastAsia="Times New Roman" w:hAnsi="Times New Roman" w:cs="Times New Roman"/>
              </w:rPr>
              <w:t>Users would have an easy time to use the resources in conjunction.</w:t>
            </w:r>
          </w:p>
        </w:tc>
      </w:tr>
    </w:tbl>
    <w:p w:rsidR="0024285E" w:rsidRDefault="0024285E">
      <w:pPr>
        <w:pStyle w:val="normal0"/>
      </w:pPr>
    </w:p>
    <w:p w:rsidR="0024285E" w:rsidRDefault="0024285E">
      <w:pPr>
        <w:pStyle w:val="normal0"/>
      </w:pPr>
    </w:p>
    <w:p w:rsidR="0024285E" w:rsidRDefault="0024285E">
      <w:pPr>
        <w:pStyle w:val="normal0"/>
      </w:pPr>
    </w:p>
    <w:sectPr w:rsidR="0024285E">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448" w:rsidRDefault="006B6448">
      <w:r>
        <w:separator/>
      </w:r>
    </w:p>
  </w:endnote>
  <w:endnote w:type="continuationSeparator" w:id="0">
    <w:p w:rsidR="006B6448" w:rsidRDefault="006B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5E" w:rsidRDefault="006B6448">
    <w:pPr>
      <w:pStyle w:val="normal0"/>
      <w:jc w:val="right"/>
    </w:pPr>
    <w:r>
      <w:fldChar w:fldCharType="begin"/>
    </w:r>
    <w:r>
      <w:instrText>PAGE</w:instrText>
    </w:r>
    <w:r>
      <w:fldChar w:fldCharType="separate"/>
    </w:r>
    <w:r w:rsidR="0082258F">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448" w:rsidRDefault="006B6448">
      <w:r>
        <w:separator/>
      </w:r>
    </w:p>
  </w:footnote>
  <w:footnote w:type="continuationSeparator" w:id="0">
    <w:p w:rsidR="006B6448" w:rsidRDefault="006B64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131DC"/>
    <w:multiLevelType w:val="multilevel"/>
    <w:tmpl w:val="14CE9A52"/>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4285E"/>
    <w:rsid w:val="0024285E"/>
    <w:rsid w:val="006B6448"/>
    <w:rsid w:val="0082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225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5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225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5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szewski@gmail.com" TargetMode="External"/><Relationship Id="rId12" Type="http://schemas.openxmlformats.org/officeDocument/2006/relationships/hyperlink" Target="http://www.exogeni.net"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baldin@renci.org" TargetMode="External"/><Relationship Id="rId9" Type="http://schemas.openxmlformats.org/officeDocument/2006/relationships/hyperlink" Target="mailto:chase@cs.duke.edu" TargetMode="External"/><Relationship Id="rId10" Type="http://schemas.openxmlformats.org/officeDocument/2006/relationships/hyperlink" Target="mailto:gcfexchan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2454</Words>
  <Characters>13988</Characters>
  <Application>Microsoft Macintosh Word</Application>
  <DocSecurity>0</DocSecurity>
  <Lines>116</Lines>
  <Paragraphs>32</Paragraphs>
  <ScaleCrop>false</ScaleCrop>
  <Company/>
  <LinksUpToDate>false</LinksUpToDate>
  <CharactersWithSpaces>16410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Federating FutureGrid and GENI v2.docx</dc:title>
  <cp:revision>1</cp:revision>
  <dcterms:created xsi:type="dcterms:W3CDTF">2013-04-15T11:55:00Z</dcterms:created>
</cp:coreProperties>
</file>